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80" w:rsidRPr="00553CBD" w:rsidRDefault="00FA0380" w:rsidP="00796A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>TEMATICA</w:t>
      </w:r>
    </w:p>
    <w:p w:rsidR="00796A10" w:rsidRPr="00553CBD" w:rsidRDefault="00796A10" w:rsidP="00796A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380" w:rsidRPr="00553CBD" w:rsidRDefault="00FA0380" w:rsidP="00796A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examenul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de medic specialist</w:t>
      </w:r>
    </w:p>
    <w:p w:rsidR="00796A10" w:rsidRPr="00553CBD" w:rsidRDefault="00796A10" w:rsidP="00796A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380" w:rsidRPr="00553CBD" w:rsidRDefault="00FA0380" w:rsidP="00796A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specialitatea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MEDICINĂ INTERNĂ</w:t>
      </w:r>
    </w:p>
    <w:p w:rsidR="00796A10" w:rsidRPr="00553CBD" w:rsidRDefault="00796A10" w:rsidP="00796A1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>I</w:t>
      </w:r>
      <w:r w:rsidRPr="00553CBD">
        <w:rPr>
          <w:rFonts w:ascii="Times New Roman" w:hAnsi="Times New Roman" w:cs="Times New Roman"/>
          <w:b/>
          <w:sz w:val="24"/>
          <w:szCs w:val="24"/>
        </w:rPr>
        <w:t xml:space="preserve">.            </w:t>
      </w:r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PROBA SCRISĂ </w:t>
      </w:r>
    </w:p>
    <w:p w:rsidR="00796A10" w:rsidRPr="00553CBD" w:rsidRDefault="00796A1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III.</w:t>
      </w:r>
      <w:r w:rsidRPr="00553C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53CBD">
        <w:rPr>
          <w:rFonts w:ascii="Times New Roman" w:hAnsi="Times New Roman" w:cs="Times New Roman"/>
          <w:b/>
          <w:sz w:val="24"/>
          <w:szCs w:val="24"/>
        </w:rPr>
        <w:t xml:space="preserve"> PROBE CLINICE</w:t>
      </w:r>
    </w:p>
    <w:p w:rsidR="00796A10" w:rsidRPr="00553CBD" w:rsidRDefault="00796A1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>IV.</w:t>
      </w:r>
      <w:r w:rsidRPr="00553CB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53CBD">
        <w:rPr>
          <w:rFonts w:ascii="Times New Roman" w:hAnsi="Times New Roman" w:cs="Times New Roman"/>
          <w:b/>
          <w:sz w:val="24"/>
          <w:szCs w:val="24"/>
        </w:rPr>
        <w:t xml:space="preserve"> PROBA DE INTERPRETARE INVESTIGAȚII PARACLINICE</w:t>
      </w:r>
    </w:p>
    <w:p w:rsidR="00796A10" w:rsidRPr="00553CBD" w:rsidRDefault="00796A1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96A10" w:rsidRPr="00553CBD" w:rsidRDefault="00796A1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380" w:rsidRPr="00553CBD" w:rsidRDefault="00FA0380" w:rsidP="00796A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>PROBA SCRISĂ</w:t>
      </w:r>
    </w:p>
    <w:p w:rsidR="00796A10" w:rsidRPr="00553CBD" w:rsidRDefault="00796A10" w:rsidP="00796A10">
      <w:pPr>
        <w:pStyle w:val="NoSpacing"/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Bronhopneumopatia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obstructivă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Pneumoniile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Astmul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bronșic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bronhopulmonar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Tuberculoza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, diagnostic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pleurale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mediastinale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interstițiale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fibrozante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</w:t>
      </w:r>
    </w:p>
    <w:p w:rsidR="00796A1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Insuficiența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Bronșiectaziile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apnee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obstructivă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somn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Pericarditele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Endocarditele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Valvulopatiile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mitrale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aortice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Tulburările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ritm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cardiac.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Tulburările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inimii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Miocarditele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cardiomiopatiile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coronariană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19.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Edemul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cardiogen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Șocul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cardiogen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Cordul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cronic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Insuficiența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cardiacă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arterială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Tromboembolismul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aortei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arterelor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Glomerulonefrite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acute, rapid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progresive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nefrotic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Nefropatiile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interstițiale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Infecțiile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de tract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renală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Insuficiența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renală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rinichi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33.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reflux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gastroesofagian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Esofagitele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ulceroasă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Gastritele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Tulburările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digestive.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lastRenderedPageBreak/>
        <w:t xml:space="preserve"> 36.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gastric. 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intestinale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colorectal. 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Hepatitele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Ciroza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hepatică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38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Insuficiența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hepatică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biliară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Icterele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Pancreatitele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pancreas.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Hemoragiile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digestive.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malabsorbție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feriprive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49.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megaloblastice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hemolitice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Leucemiile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tablou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clinic,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diagnostic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Policitemia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vera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trombocitemia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esențială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tablou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clinic,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diagnostic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Limfoamele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tablou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clinic,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diagnostic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hemoragipare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purpura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trombotică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trombocitopenică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(PTT), purpura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trombocitopenică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idiopatică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(PTI),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coagularea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intravasculară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diseminată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(CID).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Diabetul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zaharat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Artrita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reumatoidă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Spondilartritele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58.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Guta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59.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artrozică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vertebro-periferică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Colagenozele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lupusul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eritematos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sistemic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sclerodermia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dermato-polimiozita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mixtă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țesut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conjunctiv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61.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Vasculitele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sistemice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arterita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gigantocelulară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polimialgia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reumatică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poliarterita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nodoasă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granulomatoza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poliangeita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vasculitele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ANCA-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vasculitele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imune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etiologie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tablou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clinic,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diagnostic,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62.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Distiroidiile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</w:t>
      </w:r>
    </w:p>
    <w:p w:rsidR="00796A10" w:rsidRPr="00553CBD" w:rsidRDefault="00796A1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 xml:space="preserve"> BIBLIOGRAFIE </w:t>
      </w:r>
    </w:p>
    <w:p w:rsidR="00796A10" w:rsidRPr="00553CBD" w:rsidRDefault="00796A1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33C" w:rsidRPr="00553CBD" w:rsidRDefault="00796A1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Tratat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pneumologie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medicii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rezidenti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. Cristian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Oancea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Ovidiu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Fira</w:t>
      </w:r>
      <w:r w:rsidR="00553CBD">
        <w:rPr>
          <w:rFonts w:ascii="Times New Roman" w:hAnsi="Times New Roman" w:cs="Times New Roman"/>
          <w:b/>
          <w:sz w:val="24"/>
          <w:szCs w:val="24"/>
        </w:rPr>
        <w:t>-</w:t>
      </w:r>
      <w:r w:rsidR="00FA0380" w:rsidRPr="00553CBD">
        <w:rPr>
          <w:rFonts w:ascii="Times New Roman" w:hAnsi="Times New Roman" w:cs="Times New Roman"/>
          <w:b/>
          <w:sz w:val="24"/>
          <w:szCs w:val="24"/>
        </w:rPr>
        <w:t>Mlădinescu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Voicu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Tudorache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Editura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„Victor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Babeş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Timişoara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, 2021. </w:t>
      </w:r>
    </w:p>
    <w:p w:rsidR="00553CBD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33C" w:rsidRPr="00553CBD" w:rsidRDefault="0043633C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Bronhopneumonia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obstructivă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114 - 131.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Pneumoniile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148 - 163.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Astmul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bronşic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97 - 113. </w:t>
      </w:r>
    </w:p>
    <w:p w:rsidR="0043633C" w:rsidRPr="00553CBD" w:rsidRDefault="0058584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bronhopulmonar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298 - 313.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Tuberculoza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diagnostic.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379 – 429. </w:t>
      </w:r>
    </w:p>
    <w:p w:rsidR="0043633C" w:rsidRPr="00553CBD" w:rsidRDefault="0058584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pleurale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256 - 277.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mediastinale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284 – 291.</w:t>
      </w:r>
    </w:p>
    <w:p w:rsid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interstițiale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fibrozante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333 – 355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1, 2, 4, 5, 6, 7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fig. </w:t>
      </w:r>
      <w:r w:rsidR="00553C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5). </w:t>
      </w:r>
    </w:p>
    <w:p w:rsid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Insuficienţa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447 – 472 (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7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fig.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10,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Setarea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ventilatorului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456 – 459,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subcapitolul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Biomarkeri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467,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33C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tab.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3 de la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468).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lastRenderedPageBreak/>
        <w:t>Bronșiectaziile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235 – 246.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apnee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obstructivă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somn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318 – 332. </w:t>
      </w:r>
    </w:p>
    <w:p w:rsidR="00553CBD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 xml:space="preserve">2. Manual de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Cardiologie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Societății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Române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Cardiologie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. Carmen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Ginghină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Dragoș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Vinereanu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, Bogdan A.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Popescu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Editura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Medicală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>, 2020.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Pr="00553CBD">
        <w:rPr>
          <w:rFonts w:ascii="Times New Roman" w:hAnsi="Times New Roman" w:cs="Times New Roman"/>
          <w:i/>
          <w:sz w:val="24"/>
          <w:szCs w:val="24"/>
        </w:rPr>
        <w:t xml:space="preserve">N.B! La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subiectele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tabelele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clasele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recomandare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nivelul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evidență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Pericarditele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653-681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fig.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7).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Endocardita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infecțioasă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321 - 340.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Valvulopatiile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mitrale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aortice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201 – 224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2, 3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4 din ‘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Stenoza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mitrală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’), pg. 225-254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5, 6, 7, 8 din ‘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Stenoza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aortică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4 din ‘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Insuficiența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aortică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’).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Tulburările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ritm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inimii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467 – 507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fig.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1, 8, 9).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Tulburările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inimii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509 – 524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4, 5, 7, 9, 10, 11, 12, 13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stimularii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cardiace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521 – 523).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Miocarditele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cardiomiopatii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563-652.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Mențiune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capitole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r w:rsidR="00553C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Miocardite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1, 3, 4, 5).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Cardiomiopatiile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dilatative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1, 2, 3,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subcapitolul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‚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Genetică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’).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Cardiomiopatiile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hipertrofice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1, 2, 4, 5). </w:t>
      </w:r>
      <w:r w:rsid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Cardiomiopatiile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restrictive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1, 3, 4).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coronariană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coronariană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411 - 430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5, 6, 8, 10, 11). STEMI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431 - 448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tabelele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2, 4, 5). NSTEMI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449 - 465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fig.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2).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Edemul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cardiogen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761 – 776.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Șocul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cardiogen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776 – 783. 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Cordul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747 - 759.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Insuficiența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cardiacă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785 – 808.</w:t>
      </w:r>
    </w:p>
    <w:p w:rsidR="0043633C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arterială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esenţială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secundară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341-360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5);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361-381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3). 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Tromboembolismul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727 - 746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3, 4, 9,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scorul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Geneva,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6 -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scorul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PESI original).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865 – 884.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aortei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arterelor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825 - 844,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845 - 864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2, 3, 5,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6 -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enumerarea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cauzelor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localizarea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leziunii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).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697 – 725. </w:t>
      </w:r>
    </w:p>
    <w:p w:rsidR="00553CBD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B86" w:rsidRPr="00553CBD" w:rsidRDefault="00587B86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>3.</w:t>
      </w:r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Manual de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Nefrologie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. Gabriel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Mircescu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, Ismail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Gener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Ionel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Checheriță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Editura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Universitară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 ‘Carol Davila’. </w:t>
      </w:r>
      <w:proofErr w:type="spellStart"/>
      <w:r w:rsidR="00FA0380" w:rsidRPr="00553CBD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="00FA0380" w:rsidRPr="00553CBD">
        <w:rPr>
          <w:rFonts w:ascii="Times New Roman" w:hAnsi="Times New Roman" w:cs="Times New Roman"/>
          <w:b/>
          <w:sz w:val="24"/>
          <w:szCs w:val="24"/>
        </w:rPr>
        <w:t xml:space="preserve">, 2020. 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Glomerulonefritele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acute, rapid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progresive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111 – 138. 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nefrotic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127 – 130.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Nefropatii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interstiţiale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177 – 199.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Infecţiile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urinare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159 – 176. 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renală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201 – 210.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Insuficienţa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renală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225 – 239.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rinichi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241 - 264.</w:t>
      </w:r>
    </w:p>
    <w:p w:rsidR="00553CBD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 xml:space="preserve"> 4.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Gastroenterologie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hepatologie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clinică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Anca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Trifan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, Cristian Gheorghe, Dan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Dumitrașcu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Mircea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Diculescu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, Liana Gheorghe,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Ioan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Sporea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, Marcel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Tanțău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Tudorel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Ciurea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Volum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II.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Editura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Medicală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, 2023. 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reflux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gastroesofagian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Esofagitele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23 – 50. 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ulceroasă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Gastritele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97 – 126. 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Tulburările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digestive.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271 – 286. 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gastric: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165 - 178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1). 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intestinale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309 – 352.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colorectal: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425 – 448.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Hepatitele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602 - 676.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Ciroza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hepatică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753 – 779.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Insuficienţa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hepatică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814 – 820.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biliară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923 – 931.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Icterele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561 – 577.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Pancreatite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987 – 1008.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pancreas: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1016 - 1032.</w:t>
      </w:r>
    </w:p>
    <w:p w:rsid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Hemoragiile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digestive.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Hemoragiile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179 – 189.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Hemoragia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="0055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digestivă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inferioară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257 – 270.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malabsorbție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214 – 225.</w:t>
      </w:r>
    </w:p>
    <w:p w:rsidR="00553CBD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Pr="00553CBD">
        <w:rPr>
          <w:rFonts w:ascii="Times New Roman" w:hAnsi="Times New Roman" w:cs="Times New Roman"/>
          <w:b/>
          <w:sz w:val="24"/>
          <w:szCs w:val="24"/>
        </w:rPr>
        <w:t xml:space="preserve">5. Harrison.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Principiile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medicinei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interne –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Ediția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a 19 - a. Vol. 2 (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ediția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tradusă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limba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română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Dan Longo, Anthony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Fauci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, Dennis Kasper, Stephen Hauser, J. Jameson, Joseph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Loscalzo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Editura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ALL, 2022.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feriprive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625 – 629.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megaloblastice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640 – 648.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hemolitice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clasificare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diagnostic,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649 – 662.</w:t>
      </w:r>
    </w:p>
    <w:p w:rsid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Leucemiile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tablou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clinic,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diagnostic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678 – </w:t>
      </w:r>
      <w:r w:rsidR="00553C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 xml:space="preserve">694.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Policitemia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vera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trombocitemia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esențială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tablou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clinic,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de diagnostic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B86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672 - 674,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676 – 678.</w:t>
      </w:r>
    </w:p>
    <w:p w:rsidR="00587B86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Limfoamele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tablou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clinic,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diagnostic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695 – 710.</w:t>
      </w:r>
    </w:p>
    <w:p w:rsid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Sindroame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hemoragipare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purpura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trombotică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trombocitopenică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(PTT), purpura </w:t>
      </w:r>
    </w:p>
    <w:p w:rsid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trombocitopenică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idiopatică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(PTI),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coagularea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intravasculară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diseminată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(CID).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725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10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380" w:rsidRPr="00553CBD">
        <w:rPr>
          <w:rFonts w:ascii="Times New Roman" w:hAnsi="Times New Roman" w:cs="Times New Roman"/>
          <w:sz w:val="24"/>
          <w:szCs w:val="24"/>
        </w:rPr>
        <w:t>740.</w:t>
      </w:r>
    </w:p>
    <w:p w:rsidR="00796A1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Dermato-polimiozita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2194 – 2202.</w:t>
      </w:r>
    </w:p>
    <w:p w:rsidR="00553CBD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A10" w:rsidRPr="00553CBD" w:rsidRDefault="00FA0380" w:rsidP="00796A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Reumatologie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– curs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Ruxandra</w:t>
      </w:r>
      <w:proofErr w:type="spellEnd"/>
      <w:r w:rsidRPr="00553C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i/>
          <w:sz w:val="24"/>
          <w:szCs w:val="24"/>
        </w:rPr>
        <w:t>Ionescu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. Ed.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Universitară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‚Carol Davila’.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>, 2017.</w:t>
      </w:r>
    </w:p>
    <w:p w:rsidR="00796A1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Artrita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reumatoidă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136 – 171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6).</w:t>
      </w:r>
    </w:p>
    <w:p w:rsidR="00796A1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Spondilartritele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179 – 212. </w:t>
      </w:r>
    </w:p>
    <w:p w:rsidR="00796A10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Guta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316 – 352.</w:t>
      </w:r>
    </w:p>
    <w:p w:rsidR="00796A10" w:rsidRP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artrozică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vertebro-periferică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>. 121 – 135.</w:t>
      </w:r>
    </w:p>
    <w:p w:rsid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Colagenoze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(lupus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eritematos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213 - 233,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sclerodermia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242 - 253,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mixtă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r w:rsidR="00553C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6A10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ţesut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conjunctiv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>. 254 - 262).</w:t>
      </w:r>
    </w:p>
    <w:p w:rsidR="00553CBD" w:rsidRDefault="00FA0380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Vasculite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sistemice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arterita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gigantocelulară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polimialgia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reumatică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poliarterita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nodoasă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, </w:t>
      </w:r>
      <w:r w:rsidR="0055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granulomatoza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poliangeita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vasculitele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ANCA-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vasculitele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10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imune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etiologie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tablou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clinic,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de diagnostic,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0380"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FA0380" w:rsidRPr="00553CBD">
        <w:rPr>
          <w:rFonts w:ascii="Times New Roman" w:hAnsi="Times New Roman" w:cs="Times New Roman"/>
          <w:sz w:val="24"/>
          <w:szCs w:val="24"/>
        </w:rPr>
        <w:t xml:space="preserve">. 300 – 315. </w:t>
      </w:r>
    </w:p>
    <w:p w:rsidR="00553CBD" w:rsidRPr="00553CBD" w:rsidRDefault="00553CBD" w:rsidP="00796A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6A10" w:rsidRPr="00553CBD" w:rsidRDefault="00FA0380" w:rsidP="00587B86">
      <w:pPr>
        <w:ind w:left="45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Ghid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de management al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diabetului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zaharat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>.</w:t>
      </w: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Română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Diabet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Nutriție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Boli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Metabolice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univ.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dr. Romulus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Timar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Federația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Română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Diabet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Nutriție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Boli</w:t>
      </w:r>
      <w:proofErr w:type="spellEnd"/>
      <w:r w:rsidRPr="00553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i/>
          <w:sz w:val="24"/>
          <w:szCs w:val="24"/>
        </w:rPr>
        <w:t>Metabolice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univ.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dr. Gabriela Roman), 2021.</w:t>
      </w:r>
    </w:p>
    <w:p w:rsidR="00796A10" w:rsidRPr="00553CBD" w:rsidRDefault="00FA0380" w:rsidP="00587B86">
      <w:pPr>
        <w:ind w:left="45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Diabetul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zaharat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Capitolele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tab. 1.5, 1.6), 3, 4, 6, 7, 8, 10 (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10.2)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553CBD" w:rsidRDefault="00FA0380" w:rsidP="00587B86">
      <w:pPr>
        <w:ind w:left="45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  <w:r w:rsidRPr="00553CBD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Endocrinologie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studenti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rezidenti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Catălina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Poiana, Simona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Fica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Editura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Universitară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„Carol Davila”, 2015.</w:t>
      </w:r>
      <w:r w:rsidRPr="0055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10" w:rsidRPr="00553CBD" w:rsidRDefault="00FA0380" w:rsidP="00587B86">
      <w:pPr>
        <w:ind w:left="45"/>
        <w:rPr>
          <w:rFonts w:ascii="Times New Roman" w:hAnsi="Times New Roman" w:cs="Times New Roman"/>
          <w:sz w:val="24"/>
          <w:szCs w:val="24"/>
        </w:rPr>
      </w:pPr>
      <w:proofErr w:type="spellStart"/>
      <w:r w:rsidRPr="00553CBD">
        <w:rPr>
          <w:rFonts w:ascii="Times New Roman" w:hAnsi="Times New Roman" w:cs="Times New Roman"/>
          <w:sz w:val="24"/>
          <w:szCs w:val="24"/>
        </w:rPr>
        <w:t>Distiroidiile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CB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553CBD">
        <w:rPr>
          <w:rFonts w:ascii="Times New Roman" w:hAnsi="Times New Roman" w:cs="Times New Roman"/>
          <w:sz w:val="24"/>
          <w:szCs w:val="24"/>
        </w:rPr>
        <w:t xml:space="preserve">. 114 – 135. </w:t>
      </w:r>
    </w:p>
    <w:p w:rsidR="00796A10" w:rsidRPr="00553CBD" w:rsidRDefault="00FA0380" w:rsidP="00587B8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proofErr w:type="spellStart"/>
      <w:r w:rsidRPr="00553CB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53CBD">
        <w:rPr>
          <w:rFonts w:ascii="Times New Roman" w:hAnsi="Times New Roman" w:cs="Times New Roman"/>
          <w:b/>
          <w:sz w:val="24"/>
          <w:szCs w:val="24"/>
        </w:rPr>
        <w:t xml:space="preserve"> III. DOUĂ PROBE CLINICE </w:t>
      </w:r>
    </w:p>
    <w:p w:rsidR="00CA00B0" w:rsidRPr="00553CBD" w:rsidRDefault="00FA0380" w:rsidP="00587B8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553CBD">
        <w:rPr>
          <w:rFonts w:ascii="Times New Roman" w:hAnsi="Times New Roman" w:cs="Times New Roman"/>
          <w:b/>
          <w:sz w:val="24"/>
          <w:szCs w:val="24"/>
        </w:rPr>
        <w:t>IV. PROBA DE INTERPRETARE INVESTIGAȚII PARACLINI</w:t>
      </w:r>
      <w:bookmarkStart w:id="0" w:name="_GoBack"/>
      <w:bookmarkEnd w:id="0"/>
      <w:r w:rsidRPr="00553CBD">
        <w:rPr>
          <w:rFonts w:ascii="Times New Roman" w:hAnsi="Times New Roman" w:cs="Times New Roman"/>
          <w:b/>
          <w:sz w:val="24"/>
          <w:szCs w:val="24"/>
        </w:rPr>
        <w:t>CE</w:t>
      </w:r>
    </w:p>
    <w:sectPr w:rsidR="00CA00B0" w:rsidRPr="00553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5201"/>
    <w:multiLevelType w:val="hybridMultilevel"/>
    <w:tmpl w:val="DBB40B36"/>
    <w:lvl w:ilvl="0" w:tplc="8856D3D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347462F"/>
    <w:multiLevelType w:val="hybridMultilevel"/>
    <w:tmpl w:val="BD866902"/>
    <w:lvl w:ilvl="0" w:tplc="137CC2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0772280"/>
    <w:multiLevelType w:val="hybridMultilevel"/>
    <w:tmpl w:val="43B2554E"/>
    <w:lvl w:ilvl="0" w:tplc="5D9EF9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07"/>
    <w:rsid w:val="0043633C"/>
    <w:rsid w:val="00553CBD"/>
    <w:rsid w:val="0058584D"/>
    <w:rsid w:val="00587B86"/>
    <w:rsid w:val="00796A10"/>
    <w:rsid w:val="00B17D07"/>
    <w:rsid w:val="00CA00B0"/>
    <w:rsid w:val="00FA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AF24"/>
  <w15:chartTrackingRefBased/>
  <w15:docId w15:val="{E4DBEEE0-E85A-4CA2-8E9B-0B71364D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80"/>
    <w:pPr>
      <w:ind w:left="720"/>
      <w:contextualSpacing/>
    </w:pPr>
  </w:style>
  <w:style w:type="paragraph" w:styleId="NoSpacing">
    <w:name w:val="No Spacing"/>
    <w:uiPriority w:val="1"/>
    <w:qFormat/>
    <w:rsid w:val="00796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2025-09-16T05:38:00Z</dcterms:created>
  <dcterms:modified xsi:type="dcterms:W3CDTF">2025-09-16T06:29:00Z</dcterms:modified>
</cp:coreProperties>
</file>